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1"/>
        <w:spacing w:after="240" w:before="40" w:lineRule="auto"/>
        <w:jc w:val="both"/>
        <w:rPr>
          <w:rFonts w:ascii="Century Gothic" w:cs="Century Gothic" w:eastAsia="Century Gothic" w:hAnsi="Century Gothic"/>
          <w:b w:val="1"/>
          <w:sz w:val="22"/>
          <w:szCs w:val="22"/>
          <w:u w:val="single"/>
        </w:rPr>
      </w:pPr>
      <w:bookmarkStart w:colFirst="0" w:colLast="0" w:name="_heading=h.hbetugcsv16d" w:id="0"/>
      <w:bookmarkEnd w:id="0"/>
      <w:r w:rsidDel="00000000" w:rsidR="00000000" w:rsidRPr="00000000">
        <w:rPr>
          <w:rFonts w:ascii="Calibri" w:cs="Calibri" w:eastAsia="Calibri" w:hAnsi="Calibri"/>
          <w:smallCaps w:val="1"/>
          <w:color w:val="5b9bd5"/>
          <w:sz w:val="48"/>
          <w:szCs w:val="48"/>
          <w:rtl w:val="0"/>
        </w:rPr>
        <w:t xml:space="preserve">Anaphylaxis </w:t>
      </w:r>
      <w:r w:rsidDel="00000000" w:rsidR="00000000" w:rsidRPr="00000000">
        <w:rPr>
          <w:rFonts w:ascii="Calibri" w:cs="Calibri" w:eastAsia="Calibri" w:hAnsi="Calibri"/>
          <w:smallCaps w:val="1"/>
          <w:color w:val="5b9bd5"/>
          <w:sz w:val="48"/>
          <w:szCs w:val="48"/>
          <w:rtl w:val="0"/>
        </w:rPr>
        <w:t xml:space="preserve">Policy</w:t>
      </w:r>
      <w:r w:rsidDel="00000000" w:rsidR="00000000" w:rsidRPr="00000000">
        <w:rPr>
          <w:rFonts w:ascii="Calibri" w:cs="Calibri" w:eastAsia="Calibri" w:hAnsi="Calibri"/>
          <w:b w:val="0"/>
          <w:color w:val="2e75b5"/>
          <w:sz w:val="26"/>
          <w:szCs w:val="26"/>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5095875</wp:posOffset>
            </wp:positionH>
            <wp:positionV relativeFrom="paragraph">
              <wp:posOffset>0</wp:posOffset>
            </wp:positionV>
            <wp:extent cx="1409700" cy="457200"/>
            <wp:effectExtent b="0" l="0" r="0" t="0"/>
            <wp:wrapSquare wrapText="bothSides" distB="0" distT="0" distL="114300" distR="114300"/>
            <wp:docPr descr="Lloyd Street primary School " id="2"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2">
      <w:pPr>
        <w:jc w:val="both"/>
        <w:rPr>
          <w:rFonts w:ascii="Century Gothic" w:cs="Century Gothic" w:eastAsia="Century Gothic" w:hAnsi="Century Gothic"/>
          <w:b w:val="1"/>
          <w:smallCaps w:val="1"/>
          <w:sz w:val="22"/>
          <w:szCs w:val="22"/>
          <w:u w:val="single"/>
        </w:rPr>
      </w:pP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sz w:val="22"/>
          <w:szCs w:val="22"/>
        </w:rPr>
      </w:pPr>
      <w:bookmarkStart w:colFirst="0" w:colLast="0" w:name="_heading=h.gjdgxs" w:id="1"/>
      <w:bookmarkEnd w:id="1"/>
      <w:r w:rsidDel="00000000" w:rsidR="00000000" w:rsidRPr="00000000">
        <w:rPr>
          <w:rFonts w:ascii="Calibri" w:cs="Calibri" w:eastAsia="Calibri" w:hAnsi="Calibri"/>
          <w:b w:val="1"/>
          <w:sz w:val="22"/>
          <w:szCs w:val="22"/>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-3172</wp:posOffset>
            </wp:positionH>
            <wp:positionV relativeFrom="paragraph">
              <wp:posOffset>1270</wp:posOffset>
            </wp:positionV>
            <wp:extent cx="798195" cy="79819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8195" cy="798195"/>
                    </a:xfrm>
                    <a:prstGeom prst="rect"/>
                    <a:ln/>
                  </pic:spPr>
                </pic:pic>
              </a:graphicData>
            </a:graphic>
          </wp:anchor>
        </w:drawing>
      </w:r>
    </w:p>
    <w:p w:rsidR="00000000" w:rsidDel="00000000" w:rsidP="00000000" w:rsidRDefault="00000000" w:rsidRPr="00000000" w14:paraId="00000004">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need help to understand the information in this policy please contact the Lloyd Street Primary School office on 9573 4600.</w:t>
      </w:r>
    </w:p>
    <w:p w:rsidR="00000000" w:rsidDel="00000000" w:rsidP="00000000" w:rsidRDefault="00000000" w:rsidRPr="00000000" w14:paraId="00000005">
      <w:pPr>
        <w:jc w:val="both"/>
        <w:rPr>
          <w:rFonts w:ascii="Century Gothic" w:cs="Century Gothic" w:eastAsia="Century Gothic" w:hAnsi="Century Gothic"/>
          <w:b w:val="1"/>
          <w:smallCaps w:val="1"/>
          <w:sz w:val="22"/>
          <w:szCs w:val="22"/>
          <w:u w:val="singl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b w:val="1"/>
          <w:smallCaps w:val="1"/>
          <w:sz w:val="22"/>
          <w:szCs w:val="22"/>
          <w:u w:val="single"/>
        </w:rPr>
      </w:pPr>
      <w:r w:rsidDel="00000000" w:rsidR="00000000" w:rsidRPr="00000000">
        <w:rPr>
          <w:rFonts w:ascii="Century Gothic" w:cs="Century Gothic" w:eastAsia="Century Gothic" w:hAnsi="Century Gothic"/>
          <w:b w:val="1"/>
          <w:smallCaps w:val="1"/>
          <w:sz w:val="22"/>
          <w:szCs w:val="22"/>
          <w:u w:val="single"/>
          <w:rtl w:val="0"/>
        </w:rPr>
        <w:t xml:space="preserve">Policy</w:t>
      </w:r>
    </w:p>
    <w:p w:rsidR="00000000" w:rsidDel="00000000" w:rsidP="00000000" w:rsidRDefault="00000000" w:rsidRPr="00000000" w14:paraId="00000007">
      <w:pPr>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will fully comply with Ministerial Order 706 and the associated guidelines published by the Department of Education and Training.</w:t>
      </w:r>
    </w:p>
    <w:p w:rsidR="00000000" w:rsidDel="00000000" w:rsidP="00000000" w:rsidRDefault="00000000" w:rsidRPr="00000000" w14:paraId="0000000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Anaphylaxis is a severe allergic reaction that occurs after exposure to an allergen. The most common allergens for school-aged children are nuts, eggs, cow’s milk, fish, shellfish, wheat, soy, sesame, latex, certain insect stings and medication. </w:t>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Symptoms</w:t>
      </w:r>
    </w:p>
    <w:p w:rsidR="00000000" w:rsidDel="00000000" w:rsidP="00000000" w:rsidRDefault="00000000" w:rsidRPr="00000000" w14:paraId="0000000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Signs and symptoms of a mild to moderate allergic reaction can include:</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pacing w:line="259" w:lineRule="auto"/>
        <w:ind w:left="720" w:hanging="360"/>
        <w:jc w:val="both"/>
        <w:rPr>
          <w:i w:val="1"/>
          <w:color w:val="000000"/>
          <w:sz w:val="22"/>
          <w:szCs w:val="22"/>
        </w:rPr>
      </w:pPr>
      <w:r w:rsidDel="00000000" w:rsidR="00000000" w:rsidRPr="00000000">
        <w:rPr>
          <w:rFonts w:ascii="Calibri" w:cs="Calibri" w:eastAsia="Calibri" w:hAnsi="Calibri"/>
          <w:color w:val="000000"/>
          <w:sz w:val="22"/>
          <w:szCs w:val="22"/>
          <w:rtl w:val="0"/>
        </w:rPr>
        <w:t xml:space="preserve">swelling of the lips, face and eyes</w:t>
      </w:r>
      <w:r w:rsidDel="00000000" w:rsidR="00000000" w:rsidRPr="00000000">
        <w:rPr>
          <w:rtl w:val="0"/>
        </w:rPr>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pacing w:line="259" w:lineRule="auto"/>
        <w:ind w:left="720" w:hanging="360"/>
        <w:jc w:val="both"/>
        <w:rPr>
          <w:i w:val="1"/>
          <w:color w:val="000000"/>
          <w:sz w:val="22"/>
          <w:szCs w:val="22"/>
        </w:rPr>
      </w:pPr>
      <w:r w:rsidDel="00000000" w:rsidR="00000000" w:rsidRPr="00000000">
        <w:rPr>
          <w:rFonts w:ascii="Calibri" w:cs="Calibri" w:eastAsia="Calibri" w:hAnsi="Calibri"/>
          <w:color w:val="000000"/>
          <w:sz w:val="22"/>
          <w:szCs w:val="22"/>
          <w:rtl w:val="0"/>
        </w:rPr>
        <w:t xml:space="preserve">hives or welts</w:t>
      </w:r>
      <w:r w:rsidDel="00000000" w:rsidR="00000000" w:rsidRPr="00000000">
        <w:rPr>
          <w:rtl w:val="0"/>
        </w:rPr>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pacing w:after="160" w:line="259" w:lineRule="auto"/>
        <w:ind w:left="720" w:hanging="360"/>
        <w:jc w:val="both"/>
        <w:rPr>
          <w:i w:val="1"/>
          <w:color w:val="000000"/>
          <w:sz w:val="22"/>
          <w:szCs w:val="22"/>
        </w:rPr>
      </w:pPr>
      <w:r w:rsidDel="00000000" w:rsidR="00000000" w:rsidRPr="00000000">
        <w:rPr>
          <w:rFonts w:ascii="Calibri" w:cs="Calibri" w:eastAsia="Calibri" w:hAnsi="Calibri"/>
          <w:color w:val="000000"/>
          <w:sz w:val="22"/>
          <w:szCs w:val="22"/>
          <w:rtl w:val="0"/>
        </w:rPr>
        <w:t xml:space="preserve">tingling in the mouth.</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Signs and symptoms of anaphylaxis, a severe allergic reaction, can include: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difficult/noisy breathing</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swelling of tongue</w:t>
      </w:r>
      <w:r w:rsidDel="00000000" w:rsidR="00000000" w:rsidRPr="00000000">
        <w:rPr>
          <w:rtl w:val="0"/>
        </w:rPr>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difficulty talking and/or hoarse voice</w:t>
      </w: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wheeze or persistent cough</w:t>
      </w:r>
      <w:r w:rsidDel="00000000" w:rsidR="00000000" w:rsidRPr="00000000">
        <w:rPr>
          <w:rtl w:val="0"/>
        </w:rPr>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persistent dizziness or collapse</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student appears pale or floppy</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after="160"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abdominal pain and/or vomiting.</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Symptoms usually develop within ten minutes and up to two hours after exposure to an allergen, but can appear within a few minutes.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5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Treatment</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Adrenaline given as an injection into the muscle of the outer mid-thigh is the first aid treatment for anaphylaxis.</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diagnosed as being at risk of anaphylaxis are prescribed an adrenaline autoinjector for use in an emergency. These adrenaline autoinjectors are designed so that anyone can use them in an emergency.</w:t>
      </w:r>
    </w:p>
    <w:p w:rsidR="00000000" w:rsidDel="00000000" w:rsidP="00000000" w:rsidRDefault="00000000" w:rsidRPr="00000000" w14:paraId="0000001E">
      <w:pPr>
        <w:jc w:val="both"/>
        <w:rPr>
          <w:b w:val="1"/>
          <w:color w:val="000000"/>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Individual Anaphylaxis Management Plans </w:t>
      </w:r>
    </w:p>
    <w:p w:rsidR="00000000" w:rsidDel="00000000" w:rsidP="00000000" w:rsidRDefault="00000000" w:rsidRPr="00000000" w14:paraId="00000020">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at Lloyd Street School who are diagnosed by a medical practitioner as being at risk of suffering from an anaphylactic reaction must have an Individual Anaphylaxis Management Plan. When notified of an anaphylaxis diagnosis, the Principal of Lloyd Street School is responsible for developing a plan in consultation with the student’s parents/carers. </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necessary, an Individual Anaphylaxis Management Plan will be in place as soon as practicable after a student enrols at Lloyd Street School and where possible, before the student’s first day.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Individuals diagnosed as being at risk of anaphylaxis are prescribed an adrenaline autoinjector for use in an emergency. These adrenaline autoinjectors are designed so that anyone can use them in an emergency.</w:t>
      </w:r>
    </w:p>
    <w:p w:rsidR="00000000" w:rsidDel="00000000" w:rsidP="00000000" w:rsidRDefault="00000000" w:rsidRPr="00000000" w14:paraId="00000023">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necessary, an Individual Anaphylaxis Management Plan will be in place as soon as practicable after a student enrols at Lloyd Street School and where possible, before the student’s first day. </w:t>
      </w:r>
    </w:p>
    <w:p w:rsidR="00000000" w:rsidDel="00000000" w:rsidP="00000000" w:rsidRDefault="00000000" w:rsidRPr="00000000" w14:paraId="00000025">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and carers must:</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obtain an ASCIA Action Plan for Anaphylaxis from the student’s medical practitioner and provide a copy to the school as soon as practicable</w:t>
      </w:r>
      <w:r w:rsidDel="00000000" w:rsidR="00000000" w:rsidRPr="00000000">
        <w:rPr>
          <w:rtl w:val="0"/>
        </w:rPr>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immediately inform the school in writing if there is a relevant change in the student’s medical condition and obtain an updated ASCIA Action Plan for Anaphylaxis</w:t>
      </w:r>
      <w:r w:rsidDel="00000000" w:rsidR="00000000" w:rsidRPr="00000000">
        <w:rPr>
          <w:rtl w:val="0"/>
        </w:rPr>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 an up-to-date photo of the student for the ASCIA Action Plan for Anaphylaxis when that Plan is provided to the school and each time it is reviewed</w:t>
      </w:r>
      <w:r w:rsidDel="00000000" w:rsidR="00000000" w:rsidRPr="00000000">
        <w:rPr>
          <w:rtl w:val="0"/>
        </w:rPr>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provide the school with a current adrenaline autoinjector for the student that has not expired;</w:t>
      </w:r>
      <w:r w:rsidDel="00000000" w:rsidR="00000000" w:rsidRPr="00000000">
        <w:rPr>
          <w:rtl w:val="0"/>
        </w:rPr>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180"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participate in annual reviews of the student’s Plan.</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Each student’s Individual Anaphylaxis Management Plan must include: </w:t>
      </w:r>
    </w:p>
    <w:p w:rsidR="00000000" w:rsidDel="00000000" w:rsidP="00000000" w:rsidRDefault="00000000" w:rsidRPr="00000000" w14:paraId="0000002C">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information about the student’s medical condition that relates to allergies and the potential for anaphylactic reaction, including the type of allergies the student has</w:t>
      </w:r>
      <w:r w:rsidDel="00000000" w:rsidR="00000000" w:rsidRPr="00000000">
        <w:rPr>
          <w:rtl w:val="0"/>
        </w:rPr>
      </w:r>
    </w:p>
    <w:p w:rsidR="00000000" w:rsidDel="00000000" w:rsidP="00000000" w:rsidRDefault="00000000" w:rsidRPr="00000000" w14:paraId="0000002D">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information about the signs or symptoms the student might exhibit in the event of an allergic reaction based on a written diagnosis from a medical practitioner</w:t>
      </w:r>
      <w:r w:rsidDel="00000000" w:rsidR="00000000" w:rsidRPr="00000000">
        <w:rPr>
          <w:rtl w:val="0"/>
        </w:rPr>
      </w:r>
    </w:p>
    <w:p w:rsidR="00000000" w:rsidDel="00000000" w:rsidP="00000000" w:rsidRDefault="00000000" w:rsidRPr="00000000" w14:paraId="0000002E">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strategies to minimise the risk of exposure to known allergens while the student is under the care or supervision of school staff, including in the school yard, at camps and excursions, or at special events conducted, organised or attended by the school</w:t>
      </w:r>
      <w:r w:rsidDel="00000000" w:rsidR="00000000" w:rsidRPr="00000000">
        <w:rPr>
          <w:rtl w:val="0"/>
        </w:rPr>
      </w:r>
    </w:p>
    <w:p w:rsidR="00000000" w:rsidDel="00000000" w:rsidP="00000000" w:rsidRDefault="00000000" w:rsidRPr="00000000" w14:paraId="0000002F">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name of the person(s) responsible for implementing the risk minimisation strategies, which have been identified in the Plan</w:t>
      </w:r>
      <w:r w:rsidDel="00000000" w:rsidR="00000000" w:rsidRPr="00000000">
        <w:rPr>
          <w:rtl w:val="0"/>
        </w:rPr>
      </w:r>
    </w:p>
    <w:p w:rsidR="00000000" w:rsidDel="00000000" w:rsidP="00000000" w:rsidRDefault="00000000" w:rsidRPr="00000000" w14:paraId="00000030">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information about where the student's medication will be stored</w:t>
      </w:r>
      <w:r w:rsidDel="00000000" w:rsidR="00000000" w:rsidRPr="00000000">
        <w:rPr>
          <w:rtl w:val="0"/>
        </w:rPr>
      </w:r>
    </w:p>
    <w:p w:rsidR="00000000" w:rsidDel="00000000" w:rsidP="00000000" w:rsidRDefault="00000000" w:rsidRPr="00000000" w14:paraId="00000031">
      <w:pPr>
        <w:numPr>
          <w:ilvl w:val="0"/>
          <w:numId w:val="15"/>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student's emergency contact details</w:t>
      </w:r>
      <w:r w:rsidDel="00000000" w:rsidR="00000000" w:rsidRPr="00000000">
        <w:rPr>
          <w:rtl w:val="0"/>
        </w:rPr>
      </w:r>
    </w:p>
    <w:p w:rsidR="00000000" w:rsidDel="00000000" w:rsidP="00000000" w:rsidRDefault="00000000" w:rsidRPr="00000000" w14:paraId="00000032">
      <w:pPr>
        <w:numPr>
          <w:ilvl w:val="0"/>
          <w:numId w:val="15"/>
        </w:numPr>
        <w:pBdr>
          <w:top w:space="0" w:sz="0" w:val="nil"/>
          <w:left w:space="0" w:sz="0" w:val="nil"/>
          <w:bottom w:space="0" w:sz="0" w:val="nil"/>
          <w:right w:space="0" w:sz="0" w:val="nil"/>
          <w:between w:space="0" w:sz="0" w:val="nil"/>
        </w:pBdr>
        <w:spacing w:after="180"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an up-to-date ASCIA Action Plan for Anaphylaxis completed by the student’s medical practitioner.</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Review and updates to Individual Anaphylaxis Management Plans </w:t>
      </w:r>
    </w:p>
    <w:p w:rsidR="00000000" w:rsidDel="00000000" w:rsidP="00000000" w:rsidRDefault="00000000" w:rsidRPr="00000000" w14:paraId="00000034">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student’s Individual Anaphylaxis Management Plan will be reviewed and updated on an annual basis in consultation with the student’s parents/carers. The plan will also be reviewed and, where necessary, updated in the following circumstances: </w:t>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as soon as practicable after the student has an anaphylactic reaction at school</w:t>
      </w:r>
      <w:r w:rsidDel="00000000" w:rsidR="00000000" w:rsidRPr="00000000">
        <w:rPr>
          <w:rtl w:val="0"/>
        </w:rPr>
      </w:r>
    </w:p>
    <w:p w:rsidR="00000000" w:rsidDel="00000000" w:rsidP="00000000" w:rsidRDefault="00000000" w:rsidRPr="00000000" w14:paraId="00000036">
      <w:pPr>
        <w:numPr>
          <w:ilvl w:val="0"/>
          <w:numId w:val="12"/>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if the student’s medical condition, insofar as it relates to allergy and the potential for anaphylactic reaction, changes</w:t>
      </w:r>
      <w:r w:rsidDel="00000000" w:rsidR="00000000" w:rsidRPr="00000000">
        <w:rPr>
          <w:rtl w:val="0"/>
        </w:rPr>
      </w:r>
    </w:p>
    <w:p w:rsidR="00000000" w:rsidDel="00000000" w:rsidP="00000000" w:rsidRDefault="00000000" w:rsidRPr="00000000" w14:paraId="00000037">
      <w:pPr>
        <w:numPr>
          <w:ilvl w:val="0"/>
          <w:numId w:val="12"/>
        </w:numPr>
        <w:pBdr>
          <w:top w:space="0" w:sz="0" w:val="nil"/>
          <w:left w:space="0" w:sz="0" w:val="nil"/>
          <w:bottom w:space="0" w:sz="0" w:val="nil"/>
          <w:right w:space="0" w:sz="0" w:val="nil"/>
          <w:between w:space="0" w:sz="0" w:val="nil"/>
        </w:pBdr>
        <w:spacing w:after="180"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when the student is participating in an off-site activity, including camps and excursions, or at special events including fetes and concerts. </w:t>
      </w:r>
      <w:r w:rsidDel="00000000" w:rsidR="00000000" w:rsidRPr="00000000">
        <w:rPr>
          <w:rtl w:val="0"/>
        </w:rPr>
      </w:r>
    </w:p>
    <w:p w:rsidR="00000000" w:rsidDel="00000000" w:rsidP="00000000" w:rsidRDefault="00000000" w:rsidRPr="00000000" w14:paraId="00000038">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school may also consider updating a student’s Individual Anaphylaxis Management Plan if there is an identified and significant increase in the student’s potential risk of exposure to allergens at school. </w:t>
      </w:r>
    </w:p>
    <w:p w:rsidR="00000000" w:rsidDel="00000000" w:rsidP="00000000" w:rsidRDefault="00000000" w:rsidRPr="00000000" w14:paraId="00000039">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Location of plans and adrenaline autoinjectors</w:t>
      </w:r>
    </w:p>
    <w:p w:rsidR="00000000" w:rsidDel="00000000" w:rsidP="00000000" w:rsidRDefault="00000000" w:rsidRPr="00000000" w14:paraId="0000003A">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copy of each student’s Individual Anaphylaxis Management Plan will be stored with their ASCIA Action Plan for Anaphylaxis at </w:t>
      </w:r>
      <w:r w:rsidDel="00000000" w:rsidR="00000000" w:rsidRPr="00000000">
        <w:rPr>
          <w:rFonts w:ascii="Calibri" w:cs="Calibri" w:eastAsia="Calibri" w:hAnsi="Calibri"/>
          <w:b w:val="1"/>
          <w:sz w:val="22"/>
          <w:szCs w:val="22"/>
          <w:rtl w:val="0"/>
        </w:rPr>
        <w:t xml:space="preserve">the staff room</w:t>
      </w:r>
      <w:r w:rsidDel="00000000" w:rsidR="00000000" w:rsidRPr="00000000">
        <w:rPr>
          <w:rFonts w:ascii="Calibri" w:cs="Calibri" w:eastAsia="Calibri" w:hAnsi="Calibri"/>
          <w:sz w:val="22"/>
          <w:szCs w:val="22"/>
          <w:rtl w:val="0"/>
        </w:rPr>
        <w:t xml:space="preserve"> together with the student’s adrenaline autoinjector. Adrenaline autoinjectors must be labelled with the student’s name.</w:t>
      </w:r>
    </w:p>
    <w:p w:rsidR="00000000" w:rsidDel="00000000" w:rsidP="00000000" w:rsidRDefault="00000000" w:rsidRPr="00000000" w14:paraId="0000003B">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is also a number of additional adrenaline autoinjectors at the main office. </w:t>
      </w:r>
    </w:p>
    <w:p w:rsidR="00000000" w:rsidDel="00000000" w:rsidP="00000000" w:rsidRDefault="00000000" w:rsidRPr="00000000" w14:paraId="0000003C">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Risk Minimisation Strategies</w:t>
      </w:r>
    </w:p>
    <w:p w:rsidR="00000000" w:rsidDel="00000000" w:rsidP="00000000" w:rsidRDefault="00000000" w:rsidRPr="00000000" w14:paraId="0000003D">
      <w:pPr>
        <w:spacing w:after="8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reduce the risk of a student suffering from an anaphylactic reaction at Lloyd Street School , we have put in place the following strategies:</w:t>
      </w:r>
    </w:p>
    <w:p w:rsidR="00000000" w:rsidDel="00000000" w:rsidP="00000000" w:rsidRDefault="00000000" w:rsidRPr="00000000" w14:paraId="0000003E">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staff and students are regularly reminded to wash their hands after eating;</w:t>
      </w:r>
      <w:r w:rsidDel="00000000" w:rsidR="00000000" w:rsidRPr="00000000">
        <w:rPr>
          <w:rtl w:val="0"/>
        </w:rPr>
      </w:r>
    </w:p>
    <w:p w:rsidR="00000000" w:rsidDel="00000000" w:rsidP="00000000" w:rsidRDefault="00000000" w:rsidRPr="00000000" w14:paraId="0000003F">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students are discouraged from sharing food</w:t>
      </w:r>
      <w:r w:rsidDel="00000000" w:rsidR="00000000" w:rsidRPr="00000000">
        <w:rPr>
          <w:rtl w:val="0"/>
        </w:rPr>
      </w:r>
    </w:p>
    <w:p w:rsidR="00000000" w:rsidDel="00000000" w:rsidP="00000000" w:rsidRDefault="00000000" w:rsidRPr="00000000" w14:paraId="00000040">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garbage bins at school are to remain covered with lids to reduce the risk of attracting insects</w:t>
      </w:r>
      <w:r w:rsidDel="00000000" w:rsidR="00000000" w:rsidRPr="00000000">
        <w:rPr>
          <w:rtl w:val="0"/>
        </w:rPr>
      </w:r>
    </w:p>
    <w:p w:rsidR="00000000" w:rsidDel="00000000" w:rsidP="00000000" w:rsidRDefault="00000000" w:rsidRPr="00000000" w14:paraId="00000041">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gloves should be worn when picking up papers or rubbish in the playground; </w:t>
      </w:r>
      <w:r w:rsidDel="00000000" w:rsidR="00000000" w:rsidRPr="00000000">
        <w:rPr>
          <w:rtl w:val="0"/>
        </w:rPr>
      </w:r>
    </w:p>
    <w:p w:rsidR="00000000" w:rsidDel="00000000" w:rsidP="00000000" w:rsidRDefault="00000000" w:rsidRPr="00000000" w14:paraId="00000042">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grade groups will be informed of allergens to try and avoid at the beginning of the year</w:t>
      </w:r>
      <w:r w:rsidDel="00000000" w:rsidR="00000000" w:rsidRPr="00000000">
        <w:rPr>
          <w:rtl w:val="0"/>
        </w:rPr>
      </w:r>
    </w:p>
    <w:p w:rsidR="00000000" w:rsidDel="00000000" w:rsidP="00000000" w:rsidRDefault="00000000" w:rsidRPr="00000000" w14:paraId="00000043">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arrangements are made to support safety at class parties, events or birthdays</w:t>
      </w:r>
      <w:r w:rsidDel="00000000" w:rsidR="00000000" w:rsidRPr="00000000">
        <w:rPr>
          <w:rtl w:val="0"/>
        </w:rPr>
      </w:r>
    </w:p>
    <w:p w:rsidR="00000000" w:rsidDel="00000000" w:rsidP="00000000" w:rsidRDefault="00000000" w:rsidRPr="00000000" w14:paraId="00000044">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 number of general use adrenaline autoinjector will be stored at the office and in the gymnasium</w:t>
      </w:r>
      <w:r w:rsidDel="00000000" w:rsidR="00000000" w:rsidRPr="00000000">
        <w:rPr>
          <w:rtl w:val="0"/>
        </w:rPr>
      </w:r>
    </w:p>
    <w:p w:rsidR="00000000" w:rsidDel="00000000" w:rsidP="00000000" w:rsidRDefault="00000000" w:rsidRPr="00000000" w14:paraId="00000045">
      <w:pPr>
        <w:numPr>
          <w:ilvl w:val="0"/>
          <w:numId w:val="13"/>
        </w:numPr>
        <w:pBdr>
          <w:top w:space="0" w:sz="0" w:val="nil"/>
          <w:left w:space="0" w:sz="0" w:val="nil"/>
          <w:bottom w:space="0" w:sz="0" w:val="nil"/>
          <w:right w:space="0" w:sz="0" w:val="nil"/>
          <w:between w:space="0" w:sz="0" w:val="nil"/>
        </w:pBdr>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w:t>
      </w:r>
      <w:r w:rsidDel="00000000" w:rsidR="00000000" w:rsidRPr="00000000">
        <w:rPr>
          <w:rtl w:val="0"/>
        </w:rPr>
      </w:r>
    </w:p>
    <w:p w:rsidR="00000000" w:rsidDel="00000000" w:rsidP="00000000" w:rsidRDefault="00000000" w:rsidRPr="00000000" w14:paraId="00000046">
      <w:pPr>
        <w:numPr>
          <w:ilvl w:val="0"/>
          <w:numId w:val="13"/>
        </w:numPr>
        <w:pBdr>
          <w:top w:space="0" w:sz="0" w:val="nil"/>
          <w:left w:space="0" w:sz="0" w:val="nil"/>
          <w:bottom w:space="0" w:sz="0" w:val="nil"/>
          <w:right w:space="0" w:sz="0" w:val="nil"/>
          <w:between w:space="0" w:sz="0" w:val="nil"/>
        </w:pBdr>
        <w:spacing w:after="84" w:lineRule="auto"/>
        <w:ind w:left="108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Ensuring adrenaline autoinjectors go on ALL off site events  even if there are no students with anaphylaxis.</w:t>
      </w:r>
      <w:r w:rsidDel="00000000" w:rsidR="00000000" w:rsidRPr="00000000">
        <w:rPr>
          <w:rtl w:val="0"/>
        </w:rPr>
      </w:r>
    </w:p>
    <w:p w:rsidR="00000000" w:rsidDel="00000000" w:rsidP="00000000" w:rsidRDefault="00000000" w:rsidRPr="00000000" w14:paraId="00000047">
      <w:pPr>
        <w:spacing w:after="18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Adrenaline autoinjectors for general use</w:t>
      </w:r>
    </w:p>
    <w:p w:rsidR="00000000" w:rsidDel="00000000" w:rsidP="00000000" w:rsidRDefault="00000000" w:rsidRPr="00000000" w14:paraId="00000049">
      <w:pPr>
        <w:spacing w:after="18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Lloyd Street School will maintain a supply of adrenaline autoinjectors for general use, as a back-up to those provided by parents and carers for specific students, and also for students who may suffer from a first time reaction at school. </w:t>
      </w:r>
    </w:p>
    <w:p w:rsidR="00000000" w:rsidDel="00000000" w:rsidP="00000000" w:rsidRDefault="00000000" w:rsidRPr="00000000" w14:paraId="0000004A">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Adrenaline autoinjectors for general use will be stored at office and in the staffroom and labelled “general use”. </w:t>
      </w:r>
    </w:p>
    <w:p w:rsidR="00000000" w:rsidDel="00000000" w:rsidP="00000000" w:rsidRDefault="00000000" w:rsidRPr="00000000" w14:paraId="0000004B">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Principal is responsible for arranging the purchase of adrenaline autoinjectors for general use, and will consider:</w:t>
      </w:r>
    </w:p>
    <w:p w:rsidR="00000000" w:rsidDel="00000000" w:rsidP="00000000" w:rsidRDefault="00000000" w:rsidRPr="00000000" w14:paraId="0000004C">
      <w:pPr>
        <w:numPr>
          <w:ilvl w:val="0"/>
          <w:numId w:val="1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number of students enrolled at Example School at risk of anaphylaxis</w:t>
      </w:r>
      <w:r w:rsidDel="00000000" w:rsidR="00000000" w:rsidRPr="00000000">
        <w:rPr>
          <w:rtl w:val="0"/>
        </w:rPr>
      </w:r>
    </w:p>
    <w:p w:rsidR="00000000" w:rsidDel="00000000" w:rsidP="00000000" w:rsidRDefault="00000000" w:rsidRPr="00000000" w14:paraId="0000004D">
      <w:pPr>
        <w:numPr>
          <w:ilvl w:val="0"/>
          <w:numId w:val="1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accessibility of adrenaline autoinjectors supplied by parents</w:t>
      </w:r>
      <w:r w:rsidDel="00000000" w:rsidR="00000000" w:rsidRPr="00000000">
        <w:rPr>
          <w:rtl w:val="0"/>
        </w:rPr>
      </w:r>
    </w:p>
    <w:p w:rsidR="00000000" w:rsidDel="00000000" w:rsidP="00000000" w:rsidRDefault="00000000" w:rsidRPr="00000000" w14:paraId="0000004E">
      <w:pPr>
        <w:numPr>
          <w:ilvl w:val="0"/>
          <w:numId w:val="1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availability of a sufficient supply of autoinjectors for general use in different locations at the school, as well as at camps, excursions and events</w:t>
      </w:r>
      <w:r w:rsidDel="00000000" w:rsidR="00000000" w:rsidRPr="00000000">
        <w:rPr>
          <w:rtl w:val="0"/>
        </w:rPr>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limited life span of adrenaline autoinjectors, and the need for general use adrenaline autoinjectors to be replaced when used or prior to expiry</w:t>
      </w:r>
      <w:r w:rsidDel="00000000" w:rsidR="00000000" w:rsidRPr="00000000">
        <w:rPr>
          <w:rtl w:val="0"/>
        </w:rPr>
      </w:r>
    </w:p>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spacing w:after="160"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weight of the students at risk of anaphylaxis to determine the correct dosage of adrenaline autoinjector/s to purchase. </w:t>
      </w:r>
      <w:r w:rsidDel="00000000" w:rsidR="00000000" w:rsidRPr="00000000">
        <w:rPr>
          <w:rtl w:val="0"/>
        </w:rPr>
      </w:r>
    </w:p>
    <w:p w:rsidR="00000000" w:rsidDel="00000000" w:rsidP="00000000" w:rsidRDefault="00000000" w:rsidRPr="00000000" w14:paraId="00000051">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Emergency Response </w:t>
      </w:r>
    </w:p>
    <w:p w:rsidR="00000000" w:rsidDel="00000000" w:rsidP="00000000" w:rsidRDefault="00000000" w:rsidRPr="00000000" w14:paraId="00000052">
      <w:pPr>
        <w:spacing w:after="8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000000" w:rsidDel="00000000" w:rsidP="00000000" w:rsidRDefault="00000000" w:rsidRPr="00000000" w14:paraId="00000053">
      <w:pPr>
        <w:spacing w:after="8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complete and up-to-date list of students identified as being at risk of anaphylaxis is maintained by the Administration Team and overseen by Assistant Principal and stored on cases and displayed in every learning space.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rsidR="00000000" w:rsidDel="00000000" w:rsidP="00000000" w:rsidRDefault="00000000" w:rsidRPr="00000000" w14:paraId="00000054">
      <w:pPr>
        <w:spacing w:after="8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student experiences an anaphylactic reaction at school or during a school activity, school staff must:</w:t>
      </w:r>
    </w:p>
    <w:p w:rsidR="00000000" w:rsidDel="00000000" w:rsidP="00000000" w:rsidRDefault="00000000" w:rsidRPr="00000000" w14:paraId="00000055">
      <w:pPr>
        <w:spacing w:after="84" w:lineRule="auto"/>
        <w:jc w:val="both"/>
        <w:rPr>
          <w:rFonts w:ascii="Calibri" w:cs="Calibri" w:eastAsia="Calibri" w:hAnsi="Calibri"/>
          <w:color w:val="000000"/>
          <w:sz w:val="22"/>
          <w:szCs w:val="22"/>
        </w:rPr>
      </w:pPr>
      <w:r w:rsidDel="00000000" w:rsidR="00000000" w:rsidRPr="00000000">
        <w:rPr>
          <w:rtl w:val="0"/>
        </w:rPr>
      </w:r>
    </w:p>
    <w:tbl>
      <w:tblPr>
        <w:tblStyle w:val="Table1"/>
        <w:tblW w:w="10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9405"/>
        <w:tblGridChange w:id="0">
          <w:tblGrid>
            <w:gridCol w:w="990"/>
            <w:gridCol w:w="9405"/>
          </w:tblGrid>
        </w:tblGridChange>
      </w:tblGrid>
      <w:tr>
        <w:trPr>
          <w:cantSplit w:val="0"/>
          <w:tblHeader w:val="0"/>
        </w:trPr>
        <w:tc>
          <w:tcPr/>
          <w:p w:rsidR="00000000" w:rsidDel="00000000" w:rsidP="00000000" w:rsidRDefault="00000000" w:rsidRPr="00000000" w14:paraId="00000056">
            <w:pPr>
              <w:jc w:val="both"/>
              <w:rPr>
                <w:b w:val="1"/>
              </w:rPr>
            </w:pPr>
            <w:r w:rsidDel="00000000" w:rsidR="00000000" w:rsidRPr="00000000">
              <w:rPr>
                <w:b w:val="1"/>
                <w:rtl w:val="0"/>
              </w:rPr>
              <w:t xml:space="preserve">Step</w:t>
            </w:r>
          </w:p>
        </w:tc>
        <w:tc>
          <w:tcPr/>
          <w:p w:rsidR="00000000" w:rsidDel="00000000" w:rsidP="00000000" w:rsidRDefault="00000000" w:rsidRPr="00000000" w14:paraId="00000057">
            <w:pPr>
              <w:jc w:val="both"/>
              <w:rPr>
                <w:b w:val="1"/>
              </w:rPr>
            </w:pPr>
            <w:r w:rsidDel="00000000" w:rsidR="00000000" w:rsidRPr="00000000">
              <w:rPr>
                <w:b w:val="1"/>
                <w:rtl w:val="0"/>
              </w:rPr>
              <w:t xml:space="preserve">Action</w:t>
            </w:r>
          </w:p>
        </w:tc>
      </w:tr>
      <w:tr>
        <w:trPr>
          <w:cantSplit w:val="0"/>
          <w:tblHeader w:val="0"/>
        </w:trPr>
        <w:tc>
          <w:tcPr/>
          <w:p w:rsidR="00000000" w:rsidDel="00000000" w:rsidP="00000000" w:rsidRDefault="00000000" w:rsidRPr="00000000" w14:paraId="00000058">
            <w:pPr>
              <w:numPr>
                <w:ilvl w:val="0"/>
                <w:numId w:val="1"/>
              </w:numPr>
              <w:ind w:left="720" w:hanging="360"/>
              <w:jc w:val="both"/>
              <w:rPr/>
            </w:pPr>
            <w:r w:rsidDel="00000000" w:rsidR="00000000" w:rsidRPr="00000000">
              <w:rPr>
                <w:rtl w:val="0"/>
              </w:rPr>
            </w:r>
          </w:p>
        </w:tc>
        <w:tc>
          <w:tcPr/>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Lay the person flat</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Do not allow them to stand or walk</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If breathing is difficult, allow them to sit</w:t>
            </w:r>
          </w:p>
          <w:p w:rsidR="00000000" w:rsidDel="00000000" w:rsidP="00000000" w:rsidRDefault="00000000" w:rsidRPr="00000000" w14:paraId="0000005C">
            <w:pPr>
              <w:numPr>
                <w:ilvl w:val="0"/>
                <w:numId w:val="3"/>
              </w:numPr>
              <w:ind w:left="720" w:hanging="360"/>
              <w:jc w:val="both"/>
              <w:rPr/>
            </w:pPr>
            <w:r w:rsidDel="00000000" w:rsidR="00000000" w:rsidRPr="00000000">
              <w:rPr>
                <w:rtl w:val="0"/>
              </w:rPr>
              <w:t xml:space="preserve">Be calm and reassuring</w:t>
            </w:r>
          </w:p>
          <w:p w:rsidR="00000000" w:rsidDel="00000000" w:rsidP="00000000" w:rsidRDefault="00000000" w:rsidRPr="00000000" w14:paraId="0000005D">
            <w:pPr>
              <w:numPr>
                <w:ilvl w:val="0"/>
                <w:numId w:val="3"/>
              </w:numPr>
              <w:ind w:left="720" w:hanging="360"/>
              <w:jc w:val="both"/>
              <w:rPr/>
            </w:pPr>
            <w:r w:rsidDel="00000000" w:rsidR="00000000" w:rsidRPr="00000000">
              <w:rPr>
                <w:rtl w:val="0"/>
              </w:rPr>
              <w:t xml:space="preserve">Do not leave them alone</w:t>
            </w:r>
          </w:p>
          <w:p w:rsidR="00000000" w:rsidDel="00000000" w:rsidP="00000000" w:rsidRDefault="00000000" w:rsidRPr="00000000" w14:paraId="0000005E">
            <w:pPr>
              <w:numPr>
                <w:ilvl w:val="0"/>
                <w:numId w:val="3"/>
              </w:numPr>
              <w:ind w:left="720" w:hanging="360"/>
              <w:jc w:val="both"/>
              <w:rPr/>
            </w:pPr>
            <w:r w:rsidDel="00000000" w:rsidR="00000000" w:rsidRPr="00000000">
              <w:rPr>
                <w:rtl w:val="0"/>
              </w:rPr>
              <w:t xml:space="preserve">Seek assistance from another staff member or reliable student to locate the student’s adrenaline autoinjector or the school’s general use autoinjector, and the student’s Individual Anaphylaxis Management Plan, stored at the staffroom</w:t>
            </w:r>
          </w:p>
          <w:p w:rsidR="00000000" w:rsidDel="00000000" w:rsidP="00000000" w:rsidRDefault="00000000" w:rsidRPr="00000000" w14:paraId="0000005F">
            <w:pPr>
              <w:numPr>
                <w:ilvl w:val="0"/>
                <w:numId w:val="3"/>
              </w:numPr>
              <w:ind w:left="720" w:hanging="360"/>
              <w:jc w:val="both"/>
              <w:rPr/>
            </w:pPr>
            <w:r w:rsidDel="00000000" w:rsidR="00000000" w:rsidRPr="00000000">
              <w:rPr>
                <w:rtl w:val="0"/>
              </w:rPr>
              <w:t xml:space="preserve">If the student’s plan is not immediately available, or they appear to be experiencing a first time reaction, follow steps 2 to 5</w:t>
            </w:r>
          </w:p>
        </w:tc>
      </w:tr>
      <w:tr>
        <w:trPr>
          <w:cantSplit w:val="0"/>
          <w:tblHeader w:val="0"/>
        </w:trPr>
        <w:tc>
          <w:tcPr/>
          <w:p w:rsidR="00000000" w:rsidDel="00000000" w:rsidP="00000000" w:rsidRDefault="00000000" w:rsidRPr="00000000" w14:paraId="00000060">
            <w:pPr>
              <w:numPr>
                <w:ilvl w:val="0"/>
                <w:numId w:val="1"/>
              </w:numPr>
              <w:ind w:left="720" w:hanging="360"/>
              <w:jc w:val="both"/>
              <w:rPr/>
            </w:pPr>
            <w:r w:rsidDel="00000000" w:rsidR="00000000" w:rsidRPr="00000000">
              <w:rPr>
                <w:rtl w:val="0"/>
              </w:rPr>
            </w:r>
          </w:p>
        </w:tc>
        <w:tc>
          <w:tcPr/>
          <w:p w:rsidR="00000000" w:rsidDel="00000000" w:rsidP="00000000" w:rsidRDefault="00000000" w:rsidRPr="00000000" w14:paraId="00000061">
            <w:pPr>
              <w:jc w:val="both"/>
              <w:rPr/>
            </w:pPr>
            <w:r w:rsidDel="00000000" w:rsidR="00000000" w:rsidRPr="00000000">
              <w:rPr>
                <w:rtl w:val="0"/>
              </w:rPr>
              <w:t xml:space="preserve">Administer an EpiPen or EpiPen Jr</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Remove from plastic container</w:t>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Form a fist around the EpiPen and pull off the blue safety release (cap)</w:t>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Place orange end against the student’s outer mid-thigh (with or without clothing)</w:t>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Push down hard until a click is heard or felt and hold in place for 3 seconds</w:t>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Remove EpiPen</w:t>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Note the time the EpiPen is administered</w:t>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color w:val="000000"/>
                <w:rtl w:val="0"/>
              </w:rPr>
              <w:t xml:space="preserve">Retain the used EpiPen to hand to ambulance paramedics along with the time of administration</w:t>
            </w:r>
            <w:r w:rsidDel="00000000" w:rsidR="00000000" w:rsidRPr="00000000">
              <w:rPr>
                <w:rtl w:val="0"/>
              </w:rPr>
            </w:r>
          </w:p>
          <w:p w:rsidR="00000000" w:rsidDel="00000000" w:rsidP="00000000" w:rsidRDefault="00000000" w:rsidRPr="00000000" w14:paraId="00000069">
            <w:pPr>
              <w:jc w:val="both"/>
              <w:rPr>
                <w:b w:val="1"/>
              </w:rPr>
            </w:pPr>
            <w:r w:rsidDel="00000000" w:rsidR="00000000" w:rsidRPr="00000000">
              <w:rPr>
                <w:b w:val="1"/>
                <w:rtl w:val="0"/>
              </w:rPr>
              <w:t xml:space="preserve">OR</w:t>
            </w:r>
          </w:p>
          <w:p w:rsidR="00000000" w:rsidDel="00000000" w:rsidP="00000000" w:rsidRDefault="00000000" w:rsidRPr="00000000" w14:paraId="0000006A">
            <w:pPr>
              <w:jc w:val="both"/>
              <w:rPr/>
            </w:pPr>
            <w:r w:rsidDel="00000000" w:rsidR="00000000" w:rsidRPr="00000000">
              <w:rPr>
                <w:rtl w:val="0"/>
              </w:rPr>
              <w:t xml:space="preserve">Administer an Anapen® 500, Anapen® 300, or Anapen® Jr.</w:t>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Pull off the black needle shield</w:t>
            </w:r>
          </w:p>
          <w:p w:rsidR="00000000" w:rsidDel="00000000" w:rsidP="00000000" w:rsidRDefault="00000000" w:rsidRPr="00000000" w14:paraId="0000006C">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Pull off grey safety cap (from the red button)</w:t>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Place needle end firmly against the student's outer mid-thigh at 90 degrees (with or without clothing)</w:t>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ind w:left="720" w:right="50.66929133858309" w:hanging="360"/>
              <w:jc w:val="both"/>
              <w:rPr>
                <w:color w:val="000000"/>
              </w:rPr>
            </w:pPr>
            <w:r w:rsidDel="00000000" w:rsidR="00000000" w:rsidRPr="00000000">
              <w:rPr>
                <w:color w:val="000000"/>
                <w:rtl w:val="0"/>
              </w:rPr>
              <w:t xml:space="preserve">Press red button so it clicks and hold for 10 seconds</w:t>
            </w:r>
          </w:p>
          <w:p w:rsidR="00000000" w:rsidDel="00000000" w:rsidP="00000000" w:rsidRDefault="00000000" w:rsidRPr="00000000" w14:paraId="0000006F">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Remove Anapen®</w:t>
            </w:r>
          </w:p>
          <w:p w:rsidR="00000000" w:rsidDel="00000000" w:rsidP="00000000" w:rsidRDefault="00000000" w:rsidRPr="00000000" w14:paraId="00000070">
            <w:pPr>
              <w:numPr>
                <w:ilvl w:val="0"/>
                <w:numId w:val="5"/>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Note the time the Anapen is administered</w:t>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color w:val="000000"/>
                <w:rtl w:val="0"/>
              </w:rPr>
              <w:t xml:space="preserve">Retain the used Anapen to hand to ambulance paramedics along with the time of administration</w:t>
            </w:r>
            <w:r w:rsidDel="00000000" w:rsidR="00000000" w:rsidRPr="00000000">
              <w:rPr>
                <w:rtl w:val="0"/>
              </w:rPr>
            </w:r>
          </w:p>
        </w:tc>
      </w:tr>
      <w:tr>
        <w:trPr>
          <w:cantSplit w:val="0"/>
          <w:tblHeader w:val="0"/>
        </w:trPr>
        <w:tc>
          <w:tcPr/>
          <w:p w:rsidR="00000000" w:rsidDel="00000000" w:rsidP="00000000" w:rsidRDefault="00000000" w:rsidRPr="00000000" w14:paraId="00000072">
            <w:pPr>
              <w:numPr>
                <w:ilvl w:val="0"/>
                <w:numId w:val="1"/>
              </w:numPr>
              <w:ind w:left="720" w:hanging="360"/>
              <w:jc w:val="both"/>
              <w:rPr/>
            </w:pPr>
            <w:r w:rsidDel="00000000" w:rsidR="00000000" w:rsidRPr="00000000">
              <w:rPr>
                <w:rtl w:val="0"/>
              </w:rPr>
            </w:r>
          </w:p>
        </w:tc>
        <w:tc>
          <w:tcPr/>
          <w:p w:rsidR="00000000" w:rsidDel="00000000" w:rsidP="00000000" w:rsidRDefault="00000000" w:rsidRPr="00000000" w14:paraId="00000073">
            <w:pPr>
              <w:jc w:val="both"/>
              <w:rPr/>
            </w:pPr>
            <w:r w:rsidDel="00000000" w:rsidR="00000000" w:rsidRPr="00000000">
              <w:rPr>
                <w:rtl w:val="0"/>
              </w:rPr>
              <w:t xml:space="preserve">Call an ambulance (000)</w:t>
            </w:r>
          </w:p>
        </w:tc>
      </w:tr>
      <w:tr>
        <w:trPr>
          <w:cantSplit w:val="0"/>
          <w:tblHeader w:val="0"/>
        </w:trPr>
        <w:tc>
          <w:tcPr/>
          <w:p w:rsidR="00000000" w:rsidDel="00000000" w:rsidP="00000000" w:rsidRDefault="00000000" w:rsidRPr="00000000" w14:paraId="00000074">
            <w:pPr>
              <w:numPr>
                <w:ilvl w:val="0"/>
                <w:numId w:val="1"/>
              </w:numPr>
              <w:ind w:left="720" w:hanging="360"/>
              <w:jc w:val="both"/>
              <w:rPr/>
            </w:pPr>
            <w:r w:rsidDel="00000000" w:rsidR="00000000" w:rsidRPr="00000000">
              <w:rPr>
                <w:rtl w:val="0"/>
              </w:rPr>
            </w:r>
          </w:p>
        </w:tc>
        <w:tc>
          <w:tcPr/>
          <w:p w:rsidR="00000000" w:rsidDel="00000000" w:rsidP="00000000" w:rsidRDefault="00000000" w:rsidRPr="00000000" w14:paraId="00000075">
            <w:pPr>
              <w:jc w:val="both"/>
              <w:rPr/>
            </w:pPr>
            <w:r w:rsidDel="00000000" w:rsidR="00000000" w:rsidRPr="00000000">
              <w:rPr>
                <w:rtl w:val="0"/>
              </w:rPr>
              <w:t xml:space="preserve">If there is no improvement or severe symptoms progress (as described in the ASCIA Action Plan for Anaphylaxis), further adrenaline doses may be administered every five minutes, if other adrenaline autoinjectors are available.</w:t>
            </w:r>
          </w:p>
        </w:tc>
      </w:tr>
      <w:tr>
        <w:trPr>
          <w:cantSplit w:val="0"/>
          <w:tblHeader w:val="0"/>
        </w:trPr>
        <w:tc>
          <w:tcPr/>
          <w:p w:rsidR="00000000" w:rsidDel="00000000" w:rsidP="00000000" w:rsidRDefault="00000000" w:rsidRPr="00000000" w14:paraId="00000076">
            <w:pPr>
              <w:numPr>
                <w:ilvl w:val="0"/>
                <w:numId w:val="1"/>
              </w:numPr>
              <w:ind w:left="720" w:hanging="360"/>
              <w:jc w:val="both"/>
              <w:rPr/>
            </w:pPr>
            <w:r w:rsidDel="00000000" w:rsidR="00000000" w:rsidRPr="00000000">
              <w:rPr>
                <w:rtl w:val="0"/>
              </w:rPr>
            </w:r>
          </w:p>
        </w:tc>
        <w:tc>
          <w:tcPr/>
          <w:p w:rsidR="00000000" w:rsidDel="00000000" w:rsidP="00000000" w:rsidRDefault="00000000" w:rsidRPr="00000000" w14:paraId="00000077">
            <w:pPr>
              <w:jc w:val="both"/>
              <w:rPr/>
            </w:pPr>
            <w:r w:rsidDel="00000000" w:rsidR="00000000" w:rsidRPr="00000000">
              <w:rPr>
                <w:rtl w:val="0"/>
              </w:rPr>
              <w:t xml:space="preserve">Contact the student’s emergency contacts.</w:t>
            </w:r>
          </w:p>
        </w:tc>
      </w:tr>
    </w:tbl>
    <w:p w:rsidR="00000000" w:rsidDel="00000000" w:rsidP="00000000" w:rsidRDefault="00000000" w:rsidRPr="00000000" w14:paraId="00000078">
      <w:pPr>
        <w:spacing w:after="84"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spacing w:after="84"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student appears to be having a severe allergic reaction but has not been previously diagnosed with an allergy or being at risk of anaphylaxis, school staff should follow steps 2 – 5 as above. </w:t>
      </w:r>
    </w:p>
    <w:p w:rsidR="00000000" w:rsidDel="00000000" w:rsidP="00000000" w:rsidRDefault="00000000" w:rsidRPr="00000000" w14:paraId="0000007A">
      <w:pPr>
        <w:spacing w:after="280" w:before="28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Schools can use either the EpiPen® and Anapen® on any student suspected to be experiencing an anaphylactic reaction, regardless of the device prescribed in their ASCIA Action Plan.</w:t>
      </w:r>
    </w:p>
    <w:p w:rsidR="00000000" w:rsidDel="00000000" w:rsidP="00000000" w:rsidRDefault="00000000" w:rsidRPr="00000000" w14:paraId="0000007B">
      <w:pPr>
        <w:spacing w:after="280" w:before="28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possible, schools should consider using the correct dose of adrenaline autoinjector depending on the weight of the student. However, in an emergency if there is no other option available, any device should be administered to the student.</w:t>
      </w:r>
    </w:p>
    <w:p w:rsidR="00000000" w:rsidDel="00000000" w:rsidP="00000000" w:rsidRDefault="00000000" w:rsidRPr="00000000" w14:paraId="0000007C">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Communication Plan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will be available on Compass so that parents and other members of the school community can easily access information about Lloyd Street School’s anaphylaxis management procedures. The parents and carers of students who are enrolled at Lloyd Street School and are identified as being at risk of anaphylaxis will also be provided with a copy of this policy. </w:t>
      </w:r>
    </w:p>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is responsible for ensuring that all relevant staff, including casual relief staff, canteen staff and volunteers are aware of this policy and Lloyd Street School’s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The Principal is also responsible for ensuring relevant staff are trained and briefed in anaphylaxis management, consistent with the Department’s </w:t>
      </w:r>
      <w:hyperlink r:id="rId9">
        <w:r w:rsidDel="00000000" w:rsidR="00000000" w:rsidRPr="00000000">
          <w:rPr>
            <w:rFonts w:ascii="Calibri" w:cs="Calibri" w:eastAsia="Calibri" w:hAnsi="Calibri"/>
            <w:color w:val="0000ff"/>
            <w:sz w:val="22"/>
            <w:szCs w:val="22"/>
            <w:u w:val="single"/>
            <w:rtl w:val="0"/>
          </w:rPr>
          <w:t xml:space="preserve">Anaphylaxis Guidelines</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2">
      <w:pPr>
        <w:pStyle w:val="Heading3"/>
        <w:spacing w:after="120" w:line="240" w:lineRule="auto"/>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83">
      <w:pPr>
        <w:pStyle w:val="Heading3"/>
        <w:spacing w:after="120" w:line="240" w:lineRule="auto"/>
        <w:jc w:val="both"/>
        <w:rPr>
          <w:rFonts w:ascii="Calibri" w:cs="Calibri" w:eastAsia="Calibri" w:hAnsi="Calibri"/>
          <w:b w:val="1"/>
          <w:color w:val="17365d"/>
          <w:sz w:val="22"/>
          <w:szCs w:val="22"/>
        </w:rPr>
      </w:pPr>
      <w:r w:rsidDel="00000000" w:rsidR="00000000" w:rsidRPr="00000000">
        <w:rPr>
          <w:rFonts w:ascii="Calibri" w:cs="Calibri" w:eastAsia="Calibri" w:hAnsi="Calibri"/>
          <w:b w:val="1"/>
          <w:color w:val="17365d"/>
          <w:sz w:val="22"/>
          <w:szCs w:val="22"/>
          <w:rtl w:val="0"/>
        </w:rPr>
        <w:t xml:space="preserve">Staff training</w:t>
      </w:r>
    </w:p>
    <w:p w:rsidR="00000000" w:rsidDel="00000000" w:rsidP="00000000" w:rsidRDefault="00000000" w:rsidRPr="00000000" w14:paraId="00000084">
      <w:pPr>
        <w:spacing w:after="8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will ensure that the following school staff are appropriately trained in anaphylaxis management:</w:t>
      </w:r>
    </w:p>
    <w:p w:rsidR="00000000" w:rsidDel="00000000" w:rsidP="00000000" w:rsidRDefault="00000000" w:rsidRPr="00000000" w14:paraId="00000085">
      <w:pPr>
        <w:numPr>
          <w:ilvl w:val="0"/>
          <w:numId w:val="10"/>
        </w:numPr>
        <w:pBdr>
          <w:top w:space="0" w:sz="0" w:val="nil"/>
          <w:left w:space="0" w:sz="0" w:val="nil"/>
          <w:bottom w:space="0" w:sz="0" w:val="nil"/>
          <w:right w:space="0" w:sz="0" w:val="nil"/>
          <w:between w:space="0" w:sz="0" w:val="nil"/>
        </w:pBdr>
        <w:spacing w:after="84" w:lineRule="auto"/>
        <w:ind w:left="170" w:hanging="170"/>
        <w:rPr>
          <w:color w:val="000000"/>
          <w:sz w:val="22"/>
          <w:szCs w:val="22"/>
        </w:rPr>
      </w:pPr>
      <w:r w:rsidDel="00000000" w:rsidR="00000000" w:rsidRPr="00000000">
        <w:rPr>
          <w:rFonts w:ascii="Calibri" w:cs="Calibri" w:eastAsia="Calibri" w:hAnsi="Calibri"/>
          <w:color w:val="000000"/>
          <w:sz w:val="22"/>
          <w:szCs w:val="22"/>
          <w:rtl w:val="0"/>
        </w:rPr>
        <w:t xml:space="preserve">School staff who conduct classes attended by students who are at risk of anaphylaxis</w:t>
      </w:r>
      <w:r w:rsidDel="00000000" w:rsidR="00000000" w:rsidRPr="00000000">
        <w:rPr>
          <w:rtl w:val="0"/>
        </w:rPr>
      </w:r>
    </w:p>
    <w:p w:rsidR="00000000" w:rsidDel="00000000" w:rsidP="00000000" w:rsidRDefault="00000000" w:rsidRPr="00000000" w14:paraId="00000086">
      <w:pPr>
        <w:numPr>
          <w:ilvl w:val="0"/>
          <w:numId w:val="10"/>
        </w:numPr>
        <w:pBdr>
          <w:top w:space="0" w:sz="0" w:val="nil"/>
          <w:left w:space="0" w:sz="0" w:val="nil"/>
          <w:bottom w:space="0" w:sz="0" w:val="nil"/>
          <w:right w:space="0" w:sz="0" w:val="nil"/>
          <w:between w:space="0" w:sz="0" w:val="nil"/>
        </w:pBdr>
        <w:spacing w:after="120" w:lineRule="auto"/>
        <w:ind w:left="170" w:hanging="170"/>
        <w:rPr>
          <w:color w:val="000000"/>
          <w:sz w:val="22"/>
          <w:szCs w:val="22"/>
        </w:rPr>
      </w:pPr>
      <w:r w:rsidDel="00000000" w:rsidR="00000000" w:rsidRPr="00000000">
        <w:rPr>
          <w:rFonts w:ascii="Calibri" w:cs="Calibri" w:eastAsia="Calibri" w:hAnsi="Calibri"/>
          <w:color w:val="000000"/>
          <w:sz w:val="22"/>
          <w:szCs w:val="22"/>
          <w:rtl w:val="0"/>
        </w:rPr>
        <w:t xml:space="preserve">School staff who conduct specialist classes, ESO staff, first aiders and any other member of school staff as required by the Principal based on a risk assessment.</w:t>
      </w:r>
      <w:r w:rsidDel="00000000" w:rsidR="00000000" w:rsidRPr="00000000">
        <w:rPr>
          <w:rtl w:val="0"/>
        </w:rPr>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Staff who are required to undertake training must have completed:</w:t>
      </w:r>
    </w:p>
    <w:p w:rsidR="00000000" w:rsidDel="00000000" w:rsidP="00000000" w:rsidRDefault="00000000" w:rsidRPr="00000000" w14:paraId="00000088">
      <w:pPr>
        <w:numPr>
          <w:ilvl w:val="0"/>
          <w:numId w:val="9"/>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an approved face-to-face anaphylaxis management training course in the last three years, or</w:t>
      </w:r>
      <w:r w:rsidDel="00000000" w:rsidR="00000000" w:rsidRPr="00000000">
        <w:rPr>
          <w:rtl w:val="0"/>
        </w:rPr>
      </w:r>
    </w:p>
    <w:p w:rsidR="00000000" w:rsidDel="00000000" w:rsidP="00000000" w:rsidRDefault="00000000" w:rsidRPr="00000000" w14:paraId="00000089">
      <w:pPr>
        <w:numPr>
          <w:ilvl w:val="0"/>
          <w:numId w:val="9"/>
        </w:numPr>
        <w:pBdr>
          <w:top w:space="0" w:sz="0" w:val="nil"/>
          <w:left w:space="0" w:sz="0" w:val="nil"/>
          <w:bottom w:space="0" w:sz="0" w:val="nil"/>
          <w:right w:space="0" w:sz="0" w:val="nil"/>
          <w:between w:space="0" w:sz="0" w:val="nil"/>
        </w:pBdr>
        <w:spacing w:after="160"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an approved online anaphylaxis management training course in the last two years. </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Lloyd Street School uses the following training course </w:t>
      </w:r>
      <w:r w:rsidDel="00000000" w:rsidR="00000000" w:rsidRPr="00000000">
        <w:rPr>
          <w:rFonts w:ascii="Calibri" w:cs="Calibri" w:eastAsia="Calibri" w:hAnsi="Calibri"/>
          <w:sz w:val="22"/>
          <w:szCs w:val="22"/>
          <w:rtl w:val="0"/>
        </w:rPr>
        <w:t xml:space="preserve">ASCIA eTraining course 22579VIC</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[Note, for details about approved staff training modules, refer to chapter 5 of the </w:t>
      </w:r>
      <w:hyperlink r:id="rId10">
        <w:r w:rsidDel="00000000" w:rsidR="00000000" w:rsidRPr="00000000">
          <w:rPr>
            <w:rFonts w:ascii="Calibri" w:cs="Calibri" w:eastAsia="Calibri" w:hAnsi="Calibri"/>
            <w:color w:val="0000ff"/>
            <w:sz w:val="22"/>
            <w:szCs w:val="22"/>
            <w:u w:val="single"/>
            <w:rtl w:val="0"/>
          </w:rPr>
          <w:t xml:space="preserve">Anaphylaxis Guidelines</w:t>
        </w:r>
      </w:hyperlink>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8D">
      <w:pPr>
        <w:spacing w:after="180" w:lineRule="auto"/>
        <w:jc w:val="both"/>
        <w:rPr/>
      </w:pPr>
      <w:r w:rsidDel="00000000" w:rsidR="00000000" w:rsidRPr="00000000">
        <w:rPr>
          <w:rtl w:val="0"/>
        </w:rPr>
      </w:r>
    </w:p>
    <w:p w:rsidR="00000000" w:rsidDel="00000000" w:rsidP="00000000" w:rsidRDefault="00000000" w:rsidRPr="00000000" w14:paraId="0000008E">
      <w:pPr>
        <w:spacing w:after="18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Principal or or Assistant Principal Each briefing will address:</w:t>
      </w:r>
      <w:r w:rsidDel="00000000" w:rsidR="00000000" w:rsidRPr="00000000">
        <w:rPr>
          <w:rtl w:val="0"/>
        </w:rPr>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this policy</w:t>
      </w:r>
      <w:r w:rsidDel="00000000" w:rsidR="00000000" w:rsidRPr="00000000">
        <w:rPr>
          <w:rtl w:val="0"/>
        </w:rPr>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the causes, symptoms and treatment of anaphylaxis</w:t>
      </w:r>
      <w:r w:rsidDel="00000000" w:rsidR="00000000" w:rsidRPr="00000000">
        <w:rPr>
          <w:rtl w:val="0"/>
        </w:rPr>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the identities of students with a medical condition that relates to allergies and the potential for anaphylactic reaction, and where their medication is located</w:t>
      </w:r>
      <w:r w:rsidDel="00000000" w:rsidR="00000000" w:rsidRPr="00000000">
        <w:rPr>
          <w:rtl w:val="0"/>
        </w:rPr>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how to use an adrenaline autoinjector, including hands on practice with a trainer adrenaline autoinjector</w:t>
      </w:r>
      <w:r w:rsidDel="00000000" w:rsidR="00000000" w:rsidRPr="00000000">
        <w:rPr>
          <w:rtl w:val="0"/>
        </w:rPr>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rFonts w:ascii="Calibri" w:cs="Calibri" w:eastAsia="Calibri" w:hAnsi="Calibri"/>
          <w:color w:val="000000"/>
          <w:rtl w:val="0"/>
        </w:rPr>
        <w:t xml:space="preserve">the school’s general first aid and emergency response procedures</w:t>
      </w:r>
      <w:r w:rsidDel="00000000" w:rsidR="00000000" w:rsidRPr="00000000">
        <w:rPr>
          <w:rtl w:val="0"/>
        </w:rPr>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spacing w:after="180" w:lineRule="auto"/>
        <w:ind w:left="720" w:hanging="360"/>
        <w:jc w:val="both"/>
        <w:rPr>
          <w:color w:val="000000"/>
        </w:rPr>
      </w:pPr>
      <w:r w:rsidDel="00000000" w:rsidR="00000000" w:rsidRPr="00000000">
        <w:rPr>
          <w:rFonts w:ascii="Calibri" w:cs="Calibri" w:eastAsia="Calibri" w:hAnsi="Calibri"/>
          <w:color w:val="000000"/>
          <w:rtl w:val="0"/>
        </w:rPr>
        <w:t xml:space="preserve">the location of, and access to, adrenaline autoinjectors that have been provided by parents or purchased by the school for general use. </w:t>
      </w:r>
      <w:r w:rsidDel="00000000" w:rsidR="00000000" w:rsidRPr="00000000">
        <w:rPr>
          <w:rtl w:val="0"/>
        </w:rPr>
      </w:r>
    </w:p>
    <w:p w:rsidR="00000000" w:rsidDel="00000000" w:rsidP="00000000" w:rsidRDefault="00000000" w:rsidRPr="00000000" w14:paraId="00000095">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a new student enrols at Lloyd Street School who is at risk of anaphylaxis, the Principal will develop an interim plan in consultation with the student’s parents and ensure that appropriate staff are trained and briefed as soon as possible. </w:t>
      </w:r>
    </w:p>
    <w:p w:rsidR="00000000" w:rsidDel="00000000" w:rsidP="00000000" w:rsidRDefault="00000000" w:rsidRPr="00000000" w14:paraId="00000096">
      <w:pPr>
        <w:spacing w:after="1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record of staff training courses and briefings will be maintained through the school’s online Emergency Management Plan. </w:t>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rsidR="00000000" w:rsidDel="00000000" w:rsidP="00000000" w:rsidRDefault="00000000" w:rsidRPr="00000000" w14:paraId="00000098">
      <w:pPr>
        <w:jc w:val="both"/>
        <w:rPr>
          <w:rFonts w:ascii="Calibri" w:cs="Calibri" w:eastAsia="Calibri" w:hAnsi="Calibri"/>
          <w:b w:val="1"/>
          <w:smallCaps w:val="1"/>
          <w:color w:val="4f81bd"/>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smallCaps w:val="1"/>
          <w:color w:val="4f81bd"/>
          <w:sz w:val="22"/>
          <w:szCs w:val="22"/>
        </w:rPr>
      </w:pPr>
      <w:r w:rsidDel="00000000" w:rsidR="00000000" w:rsidRPr="00000000">
        <w:rPr>
          <w:rFonts w:ascii="Calibri" w:cs="Calibri" w:eastAsia="Calibri" w:hAnsi="Calibri"/>
          <w:b w:val="1"/>
          <w:smallCaps w:val="1"/>
          <w:color w:val="4f81bd"/>
          <w:sz w:val="22"/>
          <w:szCs w:val="22"/>
          <w:rtl w:val="0"/>
        </w:rPr>
        <w:t xml:space="preserve">FURTHER INFORMATION AND RESOURCES</w:t>
      </w:r>
    </w:p>
    <w:p w:rsidR="00000000" w:rsidDel="00000000" w:rsidP="00000000" w:rsidRDefault="00000000" w:rsidRPr="00000000" w14:paraId="0000009A">
      <w:pPr>
        <w:numPr>
          <w:ilvl w:val="0"/>
          <w:numId w:val="11"/>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The Department’s Policy and Advisory Library (PAL): </w:t>
      </w:r>
      <w:r w:rsidDel="00000000" w:rsidR="00000000" w:rsidRPr="00000000">
        <w:rPr>
          <w:rtl w:val="0"/>
        </w:rPr>
      </w:r>
    </w:p>
    <w:p w:rsidR="00000000" w:rsidDel="00000000" w:rsidP="00000000" w:rsidRDefault="00000000" w:rsidRPr="00000000" w14:paraId="0000009B">
      <w:pPr>
        <w:numPr>
          <w:ilvl w:val="1"/>
          <w:numId w:val="11"/>
        </w:numPr>
        <w:pBdr>
          <w:top w:space="0" w:sz="0" w:val="nil"/>
          <w:left w:space="0" w:sz="0" w:val="nil"/>
          <w:bottom w:space="0" w:sz="0" w:val="nil"/>
          <w:right w:space="0" w:sz="0" w:val="nil"/>
          <w:between w:space="0" w:sz="0" w:val="nil"/>
        </w:pBdr>
        <w:spacing w:line="259" w:lineRule="auto"/>
        <w:ind w:left="1440" w:hanging="360"/>
        <w:jc w:val="both"/>
        <w:rPr>
          <w:color w:val="000000"/>
          <w:sz w:val="22"/>
          <w:szCs w:val="22"/>
        </w:rPr>
      </w:pPr>
      <w:hyperlink r:id="rId11">
        <w:r w:rsidDel="00000000" w:rsidR="00000000" w:rsidRPr="00000000">
          <w:rPr>
            <w:rFonts w:ascii="Calibri" w:cs="Calibri" w:eastAsia="Calibri" w:hAnsi="Calibri"/>
            <w:color w:val="0000ff"/>
            <w:sz w:val="22"/>
            <w:szCs w:val="22"/>
            <w:u w:val="single"/>
            <w:rtl w:val="0"/>
          </w:rPr>
          <w:t xml:space="preserve">Anaphylaxis</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C">
      <w:pPr>
        <w:numPr>
          <w:ilvl w:val="0"/>
          <w:numId w:val="11"/>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hyperlink r:id="rId12">
        <w:r w:rsidDel="00000000" w:rsidR="00000000" w:rsidRPr="00000000">
          <w:rPr>
            <w:rFonts w:ascii="Calibri" w:cs="Calibri" w:eastAsia="Calibri" w:hAnsi="Calibri"/>
            <w:color w:val="0000ff"/>
            <w:sz w:val="22"/>
            <w:szCs w:val="22"/>
            <w:u w:val="single"/>
            <w:rtl w:val="0"/>
          </w:rPr>
          <w:t xml:space="preserve">Allergy &amp; Anaphylaxis Australia</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D">
      <w:pPr>
        <w:numPr>
          <w:ilvl w:val="0"/>
          <w:numId w:val="11"/>
        </w:numPr>
        <w:pBdr>
          <w:top w:space="0" w:sz="0" w:val="nil"/>
          <w:left w:space="0" w:sz="0" w:val="nil"/>
          <w:bottom w:space="0" w:sz="0" w:val="nil"/>
          <w:right w:space="0" w:sz="0" w:val="nil"/>
          <w:between w:space="0" w:sz="0" w:val="nil"/>
        </w:pBdr>
        <w:spacing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ASCIA Guidelines:  </w:t>
      </w:r>
      <w:hyperlink r:id="rId13">
        <w:r w:rsidDel="00000000" w:rsidR="00000000" w:rsidRPr="00000000">
          <w:rPr>
            <w:rFonts w:ascii="Calibri" w:cs="Calibri" w:eastAsia="Calibri" w:hAnsi="Calibri"/>
            <w:color w:val="0000ff"/>
            <w:sz w:val="22"/>
            <w:szCs w:val="22"/>
            <w:u w:val="single"/>
            <w:rtl w:val="0"/>
          </w:rPr>
          <w:t xml:space="preserve">Schooling and childcare</w:t>
        </w:r>
      </w:hyperlink>
      <w:r w:rsidDel="00000000" w:rsidR="00000000" w:rsidRPr="00000000">
        <w:rPr>
          <w:rtl w:val="0"/>
        </w:rPr>
      </w:r>
    </w:p>
    <w:p w:rsidR="00000000" w:rsidDel="00000000" w:rsidP="00000000" w:rsidRDefault="00000000" w:rsidRPr="00000000" w14:paraId="0000009E">
      <w:pPr>
        <w:numPr>
          <w:ilvl w:val="0"/>
          <w:numId w:val="11"/>
        </w:numPr>
        <w:pBdr>
          <w:top w:space="0" w:sz="0" w:val="nil"/>
          <w:left w:space="0" w:sz="0" w:val="nil"/>
          <w:bottom w:space="0" w:sz="0" w:val="nil"/>
          <w:right w:space="0" w:sz="0" w:val="nil"/>
          <w:between w:space="0" w:sz="0" w:val="nil"/>
        </w:pBdr>
        <w:spacing w:after="160" w:line="259" w:lineRule="auto"/>
        <w:ind w:left="720" w:hanging="360"/>
        <w:jc w:val="both"/>
        <w:rPr>
          <w:color w:val="000000"/>
          <w:sz w:val="22"/>
          <w:szCs w:val="22"/>
        </w:rPr>
      </w:pPr>
      <w:r w:rsidDel="00000000" w:rsidR="00000000" w:rsidRPr="00000000">
        <w:rPr>
          <w:rFonts w:ascii="Calibri" w:cs="Calibri" w:eastAsia="Calibri" w:hAnsi="Calibri"/>
          <w:color w:val="000000"/>
          <w:sz w:val="22"/>
          <w:szCs w:val="22"/>
          <w:rtl w:val="0"/>
        </w:rPr>
        <w:t xml:space="preserve">Royal Children’s Hospital: </w:t>
      </w:r>
      <w:hyperlink r:id="rId14">
        <w:r w:rsidDel="00000000" w:rsidR="00000000" w:rsidRPr="00000000">
          <w:rPr>
            <w:rFonts w:ascii="Calibri" w:cs="Calibri" w:eastAsia="Calibri" w:hAnsi="Calibri"/>
            <w:color w:val="0000ff"/>
            <w:sz w:val="22"/>
            <w:szCs w:val="22"/>
            <w:u w:val="single"/>
            <w:rtl w:val="0"/>
          </w:rPr>
          <w:t xml:space="preserve">Allergy and immunology </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4f81bd"/>
          <w:sz w:val="22"/>
          <w:szCs w:val="22"/>
        </w:rPr>
      </w:pPr>
      <w:bookmarkStart w:colFirst="0" w:colLast="0" w:name="_heading=h.gjdgxs" w:id="1"/>
      <w:bookmarkEnd w:id="1"/>
      <w:r w:rsidDel="00000000" w:rsidR="00000000" w:rsidRPr="00000000">
        <w:rPr>
          <w:rFonts w:ascii="Calibri" w:cs="Calibri" w:eastAsia="Calibri" w:hAnsi="Calibri"/>
          <w:b w:val="1"/>
          <w:smallCaps w:val="1"/>
          <w:color w:val="4f81bd"/>
          <w:sz w:val="22"/>
          <w:szCs w:val="22"/>
          <w:rtl w:val="0"/>
        </w:rPr>
        <w:t xml:space="preserve">POLICY REVIEW AND APPROVAL</w:t>
      </w:r>
      <w:r w:rsidDel="00000000" w:rsidR="00000000" w:rsidRPr="00000000">
        <w:rPr>
          <w:rtl w:val="0"/>
        </w:rPr>
      </w:r>
    </w:p>
    <w:tbl>
      <w:tblPr>
        <w:tblStyle w:val="Table2"/>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925"/>
        <w:gridCol w:w="6075"/>
        <w:tblGridChange w:id="0">
          <w:tblGrid>
            <w:gridCol w:w="2925"/>
            <w:gridCol w:w="60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last reviewed </w:t>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February 2022</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Approved by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 </w:t>
            </w:r>
          </w:p>
        </w:tc>
      </w:tr>
      <w:tr>
        <w:trPr>
          <w:cantSplit w:val="0"/>
          <w:trHeight w:val="619" w:hRule="atLeast"/>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scheduled review date </w:t>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2023 or in the event of an incident.  </w:t>
            </w:r>
            <w:r w:rsidDel="00000000" w:rsidR="00000000" w:rsidRPr="00000000">
              <w:rPr>
                <w:rtl w:val="0"/>
              </w:rPr>
            </w:r>
          </w:p>
        </w:tc>
      </w:tr>
    </w:tbl>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Principal will complete the Department’s Annual Risk Management Checklist for anaphylaxis management to assist with the evaluation and review of this policy and the support provided to students at risk of anaphylaxis. </w:t>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tl w:val="0"/>
        </w:rPr>
      </w:r>
    </w:p>
    <w:sectPr>
      <w:footerReference r:id="rId15"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color w:val="000000"/>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color w:val="ff0000"/>
      <w:sz w:val="56"/>
      <w:szCs w:val="56"/>
    </w:rPr>
  </w:style>
  <w:style w:type="paragraph" w:styleId="Heading2">
    <w:name w:val="heading 2"/>
    <w:basedOn w:val="Normal"/>
    <w:next w:val="Normal"/>
    <w:pPr>
      <w:keepNext w:val="1"/>
      <w:jc w:val="center"/>
    </w:pPr>
    <w:rPr>
      <w:rFonts w:ascii="Verdana" w:cs="Verdana" w:eastAsia="Verdana" w:hAnsi="Verdana"/>
      <w:b w:val="1"/>
      <w:sz w:val="20"/>
      <w:szCs w:val="20"/>
    </w:rPr>
  </w:style>
  <w:style w:type="paragraph" w:styleId="Heading3">
    <w:name w:val="heading 3"/>
    <w:basedOn w:val="Normal"/>
    <w:next w:val="Normal"/>
    <w:pPr>
      <w:keepNext w:val="1"/>
      <w:keepLines w:val="1"/>
      <w:spacing w:before="40" w:line="256"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09"/>
      <w:jc w:val="center"/>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color w:val="ff0000"/>
      <w:sz w:val="56"/>
      <w:szCs w:val="56"/>
    </w:rPr>
  </w:style>
  <w:style w:type="paragraph" w:styleId="Heading2">
    <w:name w:val="heading 2"/>
    <w:basedOn w:val="Normal"/>
    <w:next w:val="Normal"/>
    <w:uiPriority w:val="9"/>
    <w:unhideWhenUsed w:val="1"/>
    <w:qFormat w:val="1"/>
    <w:pPr>
      <w:keepNext w:val="1"/>
      <w:jc w:val="center"/>
      <w:outlineLvl w:val="1"/>
    </w:pPr>
    <w:rPr>
      <w:rFonts w:ascii="Verdana" w:cs="Verdana" w:eastAsia="Verdana" w:hAnsi="Verdana"/>
      <w:b w:val="1"/>
      <w:sz w:val="20"/>
      <w:szCs w:val="20"/>
    </w:rPr>
  </w:style>
  <w:style w:type="paragraph" w:styleId="Heading3">
    <w:name w:val="heading 3"/>
    <w:basedOn w:val="Normal"/>
    <w:next w:val="Normal"/>
    <w:uiPriority w:val="9"/>
    <w:unhideWhenUsed w:val="1"/>
    <w:qFormat w:val="1"/>
    <w:pPr>
      <w:keepNext w:val="1"/>
      <w:keepLines w:val="1"/>
      <w:spacing w:before="40" w:line="256" w:lineRule="auto"/>
      <w:outlineLvl w:val="2"/>
    </w:pPr>
    <w:rPr>
      <w:rFonts w:ascii="Cambria" w:cs="Cambria" w:eastAsia="Cambria" w:hAnsi="Cambria"/>
      <w:color w:val="243f6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ind w:left="709"/>
      <w:jc w:val="center"/>
    </w:pPr>
    <w:rPr>
      <w:b w:val="1"/>
      <w:u w:val="single"/>
    </w:rPr>
  </w:style>
  <w:style w:type="paragraph" w:styleId="Subtitle">
    <w:name w:val="Subtitle"/>
    <w:basedOn w:val="Normal"/>
    <w:next w:val="Normal"/>
    <w:uiPriority w:val="11"/>
    <w:qFormat w:val="1"/>
    <w:pPr>
      <w:ind w:left="709"/>
      <w:jc w:val="center"/>
    </w:pPr>
    <w:rPr>
      <w:b w:val="1"/>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character" w:styleId="CommentReference">
    <w:name w:val="annotation reference"/>
    <w:basedOn w:val="DefaultParagraphFont"/>
    <w:uiPriority w:val="99"/>
    <w:semiHidden w:val="1"/>
    <w:unhideWhenUsed w:val="1"/>
    <w:rsid w:val="006B5853"/>
    <w:rPr>
      <w:sz w:val="16"/>
      <w:szCs w:val="16"/>
    </w:rPr>
  </w:style>
  <w:style w:type="paragraph" w:styleId="CommentText">
    <w:name w:val="annotation text"/>
    <w:basedOn w:val="Normal"/>
    <w:link w:val="CommentTextChar"/>
    <w:uiPriority w:val="99"/>
    <w:unhideWhenUsed w:val="1"/>
    <w:rsid w:val="006B5853"/>
    <w:rPr>
      <w:sz w:val="20"/>
      <w:szCs w:val="20"/>
    </w:rPr>
  </w:style>
  <w:style w:type="character" w:styleId="CommentTextChar" w:customStyle="1">
    <w:name w:val="Comment Text Char"/>
    <w:basedOn w:val="DefaultParagraphFont"/>
    <w:link w:val="CommentText"/>
    <w:uiPriority w:val="99"/>
    <w:rsid w:val="006B5853"/>
    <w:rPr>
      <w:sz w:val="20"/>
      <w:szCs w:val="20"/>
    </w:rPr>
  </w:style>
  <w:style w:type="paragraph" w:styleId="CommentSubject">
    <w:name w:val="annotation subject"/>
    <w:basedOn w:val="CommentText"/>
    <w:next w:val="CommentText"/>
    <w:link w:val="CommentSubjectChar"/>
    <w:uiPriority w:val="99"/>
    <w:semiHidden w:val="1"/>
    <w:unhideWhenUsed w:val="1"/>
    <w:rsid w:val="006B5853"/>
    <w:rPr>
      <w:b w:val="1"/>
      <w:bCs w:val="1"/>
    </w:rPr>
  </w:style>
  <w:style w:type="character" w:styleId="CommentSubjectChar" w:customStyle="1">
    <w:name w:val="Comment Subject Char"/>
    <w:basedOn w:val="CommentTextChar"/>
    <w:link w:val="CommentSubject"/>
    <w:uiPriority w:val="99"/>
    <w:semiHidden w:val="1"/>
    <w:rsid w:val="006B5853"/>
    <w:rPr>
      <w:b w:val="1"/>
      <w:bCs w:val="1"/>
      <w:sz w:val="20"/>
      <w:szCs w:val="20"/>
    </w:rPr>
  </w:style>
  <w:style w:type="paragraph" w:styleId="Subtitle">
    <w:name w:val="Subtitle"/>
    <w:basedOn w:val="Normal"/>
    <w:next w:val="Normal"/>
    <w:pPr>
      <w:ind w:left="709"/>
      <w:jc w:val="center"/>
    </w:pPr>
    <w:rPr>
      <w:b w:val="1"/>
    </w:rPr>
  </w:style>
  <w:style w:type="table" w:styleId="Table1">
    <w:basedOn w:val="TableNormal"/>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anaphylaxis/policy" TargetMode="External"/><Relationship Id="rId10" Type="http://schemas.openxmlformats.org/officeDocument/2006/relationships/hyperlink" Target="https://www2.education.vic.gov.au/pal/anaphylaxis/guidance/5-staff-training" TargetMode="External"/><Relationship Id="rId13" Type="http://schemas.openxmlformats.org/officeDocument/2006/relationships/hyperlink" Target="https://allergyfacts.org.au/allergy-management/schooling-childcare" TargetMode="External"/><Relationship Id="rId12" Type="http://schemas.openxmlformats.org/officeDocument/2006/relationships/hyperlink" Target="https://allergyfacts.org.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anaphylaxis/guidance" TargetMode="External"/><Relationship Id="rId15" Type="http://schemas.openxmlformats.org/officeDocument/2006/relationships/footer" Target="footer1.xml"/><Relationship Id="rId14" Type="http://schemas.openxmlformats.org/officeDocument/2006/relationships/hyperlink" Target="https://www.rch.org.au/allergy/about_us/Allergy_and_Immunolog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GsrRM3nFBMGU4xLa4aQVGZ6ag==">CgMxLjAyDmguaGJldHVnY3N2MTZkMghoLmdqZGd4czIIaC5namRneHM4AHIhMXk0dm1QRjlDdVBwczdXVHhCa05ySENCZWNpRE9RSzNz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2023-06-23T11:43:00Z</dcterms:created>
</cp:coreProperties>
</file>